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xrnwirtpdzof" w:id="0"/>
      <w:bookmarkEnd w:id="0"/>
      <w:r w:rsidDel="00000000" w:rsidR="00000000" w:rsidRPr="00000000">
        <w:rPr>
          <w:rtl w:val="0"/>
        </w:rPr>
        <w:t xml:space="preserve">Checkliste: Dienstleistungsunternehmen kaufen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Motivation: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Motivation und </w:t>
      </w:r>
      <w:r w:rsidDel="00000000" w:rsidR="00000000" w:rsidRPr="00000000">
        <w:rPr>
          <w:color w:val="0d0d0d"/>
          <w:rtl w:val="0"/>
        </w:rPr>
        <w:t xml:space="preserve">Ziele für den Kauf einer Dienstleistungsfirma klären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color w:val="0d0d0d"/>
          <w:u w:val="none"/>
        </w:rPr>
      </w:pPr>
      <w:r w:rsidDel="00000000" w:rsidR="00000000" w:rsidRPr="00000000">
        <w:rPr>
          <w:color w:val="0d0d0d"/>
          <w:rtl w:val="0"/>
        </w:rPr>
        <w:t xml:space="preserve">Strategie für Geschäftsziele entwickeln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  <w:color w:val="0d0d0d"/>
        </w:rPr>
      </w:pPr>
      <w:r w:rsidDel="00000000" w:rsidR="00000000" w:rsidRPr="00000000">
        <w:rPr>
          <w:b w:val="1"/>
          <w:color w:val="0d0d0d"/>
          <w:rtl w:val="0"/>
        </w:rPr>
        <w:t xml:space="preserve">Marktanalyse:</w:t>
      </w:r>
    </w:p>
    <w:p w:rsidR="00000000" w:rsidDel="00000000" w:rsidP="00000000" w:rsidRDefault="00000000" w:rsidRPr="00000000" w14:paraId="00000009">
      <w:pPr>
        <w:ind w:left="0" w:firstLine="0"/>
        <w:rPr>
          <w:b w:val="1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color w:val="0d0d0d"/>
        </w:rPr>
      </w:pPr>
      <w:r w:rsidDel="00000000" w:rsidR="00000000" w:rsidRPr="00000000">
        <w:rPr>
          <w:color w:val="0d0d0d"/>
          <w:rtl w:val="0"/>
        </w:rPr>
        <w:t xml:space="preserve">Dienstleistungsbranche analysieren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ind w:left="720" w:hanging="360"/>
        <w:rPr>
          <w:color w:val="0d0d0d"/>
          <w:u w:val="none"/>
        </w:rPr>
      </w:pPr>
      <w:r w:rsidDel="00000000" w:rsidR="00000000" w:rsidRPr="00000000">
        <w:rPr>
          <w:color w:val="0d0d0d"/>
          <w:rtl w:val="0"/>
        </w:rPr>
        <w:t xml:space="preserve">Wettbewerb analysieren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rPr>
          <w:color w:val="0d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d0d0d"/>
          <w:highlight w:val="white"/>
        </w:rPr>
      </w:pPr>
      <w:r w:rsidDel="00000000" w:rsidR="00000000" w:rsidRPr="00000000">
        <w:rPr>
          <w:b w:val="1"/>
          <w:color w:val="0d0d0d"/>
          <w:highlight w:val="white"/>
          <w:rtl w:val="0"/>
        </w:rPr>
        <w:t xml:space="preserve">Geschäftsanalyse und Due Diligence:</w:t>
      </w:r>
    </w:p>
    <w:p w:rsidR="00000000" w:rsidDel="00000000" w:rsidP="00000000" w:rsidRDefault="00000000" w:rsidRPr="00000000" w14:paraId="0000000E">
      <w:pPr>
        <w:ind w:left="0" w:firstLine="0"/>
        <w:rPr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color w:val="0d0d0d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Kundenbasis und -bindung untersuchen (Diversität, Loyalität)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color w:val="0d0d0d"/>
          <w:sz w:val="20"/>
          <w:szCs w:val="20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Potenzial für Kundenakquise prüfen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color w:val="0d0d0d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Due Diligence (Finanzen, Verträge, betriebliche Abläufe und rechtliche Verpflichtungen)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color w:val="0d0d0d"/>
          <w:sz w:val="20"/>
          <w:szCs w:val="20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Verträge prüfen (Kunden, Lieferanten, Miete)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color w:val="0d0d0d"/>
          <w:sz w:val="20"/>
          <w:szCs w:val="20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Technologische Systeme überprüfen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color w:val="0d0d0d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Lizenzen und Genehmigungen prüfen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color w:val="0d0d0d"/>
          <w:sz w:val="20"/>
          <w:szCs w:val="20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Haftungsrisiken und Rechtsstreitigkeiten prüfen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color w:val="0d0d0d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M&amp;A-Experten konsultieren</w:t>
      </w:r>
    </w:p>
    <w:p w:rsidR="00000000" w:rsidDel="00000000" w:rsidP="00000000" w:rsidRDefault="00000000" w:rsidRPr="00000000" w14:paraId="00000017">
      <w:pPr>
        <w:rPr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d0d0d"/>
          <w:highlight w:val="white"/>
        </w:rPr>
      </w:pPr>
      <w:r w:rsidDel="00000000" w:rsidR="00000000" w:rsidRPr="00000000">
        <w:rPr>
          <w:b w:val="1"/>
          <w:color w:val="0d0d0d"/>
          <w:highlight w:val="white"/>
          <w:rtl w:val="0"/>
        </w:rPr>
        <w:t xml:space="preserve">Unternehmen bewerten:</w:t>
      </w:r>
    </w:p>
    <w:p w:rsidR="00000000" w:rsidDel="00000000" w:rsidP="00000000" w:rsidRDefault="00000000" w:rsidRPr="00000000" w14:paraId="00000019">
      <w:pPr>
        <w:rPr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color w:val="0d0d0d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Methoden zur Bewertung kombinieren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color w:val="0d0d0d"/>
          <w:sz w:val="20"/>
          <w:szCs w:val="20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Kaufpreis unter Berücksichtigung von Risiken und Chancen festlegen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color w:val="0d0d0d"/>
          <w:highlight w:val="white"/>
          <w:u w:val="non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Garantien und Klauseln festlegen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d0d0d"/>
          <w:highlight w:val="white"/>
        </w:rPr>
      </w:pPr>
      <w:r w:rsidDel="00000000" w:rsidR="00000000" w:rsidRPr="00000000">
        <w:rPr>
          <w:b w:val="1"/>
          <w:color w:val="0d0d0d"/>
          <w:highlight w:val="white"/>
          <w:rtl w:val="0"/>
        </w:rPr>
        <w:t xml:space="preserve">Finanzielle Ressourcen und Budgetplanung:</w:t>
      </w:r>
    </w:p>
    <w:p w:rsidR="00000000" w:rsidDel="00000000" w:rsidP="00000000" w:rsidRDefault="00000000" w:rsidRPr="00000000" w14:paraId="0000001F">
      <w:pPr>
        <w:rPr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b w:val="1"/>
          <w:color w:val="0d0d0d"/>
          <w:highlight w:val="white"/>
          <w:u w:val="non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Ausreichend finanzielle Mittel berücksichtigen (inkl. Raum für zusätzliche Kosten wie Beratung)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color w:val="0d0d0d"/>
          <w:highlight w:val="white"/>
          <w:u w:val="non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Finanzierungsoptionen klären</w:t>
      </w:r>
    </w:p>
    <w:p w:rsidR="00000000" w:rsidDel="00000000" w:rsidP="00000000" w:rsidRDefault="00000000" w:rsidRPr="00000000" w14:paraId="00000022">
      <w:pPr>
        <w:rPr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color w:val="0d0d0d"/>
          <w:highlight w:val="white"/>
        </w:rPr>
      </w:pPr>
      <w:r w:rsidDel="00000000" w:rsidR="00000000" w:rsidRPr="00000000">
        <w:rPr>
          <w:b w:val="1"/>
          <w:color w:val="0d0d0d"/>
          <w:highlight w:val="white"/>
          <w:rtl w:val="0"/>
        </w:rPr>
        <w:t xml:space="preserve">Integration und Wachstumsstrategie:</w:t>
      </w:r>
    </w:p>
    <w:p w:rsidR="00000000" w:rsidDel="00000000" w:rsidP="00000000" w:rsidRDefault="00000000" w:rsidRPr="00000000" w14:paraId="00000024">
      <w:pPr>
        <w:rPr>
          <w:b w:val="1"/>
          <w:color w:val="0d0d0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color w:val="0d0d0d"/>
          <w:highlight w:val="white"/>
          <w:u w:val="non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Plan für die Integration entwickeln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color w:val="0d0d0d"/>
          <w:highlight w:val="white"/>
          <w:u w:val="non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Langfristige Wachstumsziele festlegen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color w:val="0d0d0d"/>
          <w:highlight w:val="white"/>
          <w:u w:val="non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Strategie anpassen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